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583C" w14:textId="283A9C28" w:rsidR="00C12789" w:rsidRPr="000E284C" w:rsidRDefault="00C12789" w:rsidP="00C1278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6DD4041" wp14:editId="00F6D92E">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A262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124CC0">
        <w:rPr>
          <w:rFonts w:cs="Arial"/>
          <w:bCs/>
          <w:sz w:val="28"/>
        </w:rPr>
        <w:t xml:space="preserve">Ad-Hoc </w:t>
      </w:r>
      <w:r>
        <w:rPr>
          <w:rFonts w:cs="Arial"/>
          <w:bCs/>
          <w:sz w:val="28"/>
        </w:rPr>
        <w:t xml:space="preserve">Meeting </w:t>
      </w:r>
      <w:r w:rsidR="00124CC0">
        <w:rPr>
          <w:rFonts w:cs="Arial"/>
          <w:bCs/>
          <w:sz w:val="28"/>
          <w:lang w:val="en-US"/>
        </w:rPr>
        <w:t>1901</w:t>
      </w:r>
      <w:r>
        <w:rPr>
          <w:rFonts w:cs="Arial"/>
          <w:bCs/>
          <w:sz w:val="28"/>
          <w:szCs w:val="24"/>
          <w:lang w:val="en-US" w:eastAsia="zh-TW"/>
        </w:rPr>
        <w:t xml:space="preserve">                                        </w:t>
      </w:r>
      <w:r>
        <w:rPr>
          <w:rFonts w:cs="Arial"/>
          <w:bCs/>
          <w:sz w:val="28"/>
          <w:szCs w:val="24"/>
          <w:lang w:val="en-US" w:eastAsia="zh-TW"/>
        </w:rPr>
        <w:tab/>
      </w:r>
      <w:r w:rsidR="00124CC0">
        <w:rPr>
          <w:rFonts w:eastAsia="MS Mincho" w:cs="Arial"/>
          <w:bCs/>
          <w:sz w:val="28"/>
          <w:szCs w:val="24"/>
          <w:lang w:val="en-US"/>
        </w:rPr>
        <w:t>R1-190019</w:t>
      </w:r>
      <w:r w:rsidR="005E4E19">
        <w:rPr>
          <w:rFonts w:eastAsia="MS Mincho" w:cs="Arial"/>
          <w:bCs/>
          <w:sz w:val="28"/>
          <w:szCs w:val="24"/>
          <w:lang w:val="en-US"/>
        </w:rPr>
        <w:t>5</w:t>
      </w:r>
    </w:p>
    <w:p w14:paraId="7639C332" w14:textId="1371AB6C" w:rsidR="00C12789" w:rsidRPr="009A4147" w:rsidRDefault="003B5CA8" w:rsidP="00C12789">
      <w:pPr>
        <w:pStyle w:val="Header"/>
        <w:tabs>
          <w:tab w:val="center" w:pos="4536"/>
          <w:tab w:val="right" w:pos="8280"/>
          <w:tab w:val="right" w:pos="9781"/>
        </w:tabs>
        <w:spacing w:after="240"/>
        <w:ind w:right="-58"/>
        <w:rPr>
          <w:rFonts w:cs="Arial"/>
          <w:bCs/>
          <w:sz w:val="28"/>
          <w:szCs w:val="24"/>
          <w:lang w:eastAsia="zh-TW"/>
        </w:rPr>
      </w:pPr>
      <w:r>
        <w:rPr>
          <w:rFonts w:cs="Arial"/>
          <w:bCs/>
          <w:sz w:val="28"/>
        </w:rPr>
        <w:t>Taipei</w:t>
      </w:r>
      <w:r w:rsidR="00C12789" w:rsidRPr="00297FB4">
        <w:rPr>
          <w:rFonts w:cs="Arial"/>
          <w:bCs/>
          <w:sz w:val="28"/>
        </w:rPr>
        <w:t xml:space="preserve">, </w:t>
      </w:r>
      <w:r>
        <w:rPr>
          <w:rFonts w:cs="Arial"/>
          <w:bCs/>
          <w:sz w:val="28"/>
        </w:rPr>
        <w:t>Taiwan,</w:t>
      </w:r>
      <w:r w:rsidR="00C12789" w:rsidRPr="00297FB4">
        <w:rPr>
          <w:rFonts w:cs="Arial"/>
          <w:bCs/>
          <w:sz w:val="28"/>
        </w:rPr>
        <w:t xml:space="preserve"> </w:t>
      </w:r>
      <w:r w:rsidR="00C12789">
        <w:rPr>
          <w:rFonts w:cs="Arial"/>
          <w:bCs/>
          <w:sz w:val="28"/>
        </w:rPr>
        <w:t>2</w:t>
      </w:r>
      <w:r>
        <w:rPr>
          <w:rFonts w:cs="Arial"/>
          <w:bCs/>
          <w:sz w:val="28"/>
        </w:rPr>
        <w:t>1</w:t>
      </w:r>
      <w:r>
        <w:rPr>
          <w:rFonts w:cs="Arial"/>
          <w:bCs/>
          <w:sz w:val="28"/>
          <w:vertAlign w:val="superscript"/>
        </w:rPr>
        <w:t>st</w:t>
      </w:r>
      <w:r w:rsidR="00C12789">
        <w:rPr>
          <w:rFonts w:cs="Arial"/>
          <w:bCs/>
          <w:sz w:val="28"/>
        </w:rPr>
        <w:t>-</w:t>
      </w:r>
      <w:r>
        <w:rPr>
          <w:rFonts w:cs="Arial"/>
          <w:bCs/>
          <w:sz w:val="28"/>
        </w:rPr>
        <w:t xml:space="preserve"> 25</w:t>
      </w:r>
      <w:r w:rsidR="00C12789" w:rsidRPr="003B5CA8">
        <w:rPr>
          <w:rFonts w:cs="Arial"/>
          <w:bCs/>
          <w:sz w:val="28"/>
          <w:vertAlign w:val="superscript"/>
        </w:rPr>
        <w:t>th</w:t>
      </w:r>
      <w:r w:rsidR="00C12789" w:rsidRPr="00297FB4">
        <w:rPr>
          <w:rFonts w:cs="Arial"/>
          <w:bCs/>
          <w:sz w:val="28"/>
        </w:rPr>
        <w:t xml:space="preserve"> </w:t>
      </w:r>
      <w:r>
        <w:rPr>
          <w:rFonts w:cs="Arial"/>
          <w:bCs/>
          <w:sz w:val="28"/>
        </w:rPr>
        <w:t>Janunary</w:t>
      </w:r>
      <w:r w:rsidR="00C12789" w:rsidRPr="00297FB4">
        <w:rPr>
          <w:rFonts w:cs="Arial"/>
          <w:bCs/>
          <w:sz w:val="28"/>
        </w:rPr>
        <w:t xml:space="preserve"> 201</w:t>
      </w:r>
      <w:r>
        <w:rPr>
          <w:rFonts w:cs="Arial"/>
          <w:bCs/>
          <w:sz w:val="28"/>
        </w:rPr>
        <w:t>9</w:t>
      </w:r>
      <w:r w:rsidR="00C12789">
        <w:rPr>
          <w:rFonts w:cs="Arial"/>
          <w:bCs/>
          <w:sz w:val="28"/>
        </w:rPr>
        <w:t xml:space="preserve"> </w:t>
      </w:r>
    </w:p>
    <w:p w14:paraId="2102475B" w14:textId="7C705F77" w:rsidR="00C12789" w:rsidRPr="006517D0" w:rsidRDefault="00C12789" w:rsidP="00C127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E4E19">
        <w:rPr>
          <w:rFonts w:cs="Arial"/>
          <w:bCs/>
          <w:sz w:val="28"/>
          <w:szCs w:val="24"/>
          <w:lang w:val="en-US" w:eastAsia="zh-TW"/>
        </w:rPr>
        <w:t>7.2.13.4</w:t>
      </w:r>
    </w:p>
    <w:p w14:paraId="6F784100" w14:textId="77777777" w:rsidR="00C12789" w:rsidRPr="006517D0" w:rsidRDefault="00C12789" w:rsidP="00C12789">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62A01F" w14:textId="3D728DD8" w:rsidR="00C12789" w:rsidRPr="00791352" w:rsidRDefault="00C12789" w:rsidP="00C12789">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E4E19" w:rsidRPr="005E4E19">
        <w:rPr>
          <w:rFonts w:cs="Arial"/>
          <w:bCs/>
          <w:sz w:val="28"/>
          <w:szCs w:val="24"/>
          <w:lang w:val="en-US" w:eastAsia="zh-TW"/>
        </w:rPr>
        <w:t>MR-DC and CA enhancements</w:t>
      </w:r>
    </w:p>
    <w:p w14:paraId="29A5C0AC" w14:textId="77777777" w:rsidR="00C12789" w:rsidRPr="00791352" w:rsidRDefault="00C12789" w:rsidP="00C12789">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0F50F951" w14:textId="77777777" w:rsidR="002D44AF" w:rsidRDefault="002D44AF" w:rsidP="0083104A">
      <w:pPr>
        <w:pStyle w:val="Heading1"/>
      </w:pPr>
      <w:r w:rsidRPr="0083104A">
        <w:rPr>
          <w:rFonts w:hint="eastAsia"/>
        </w:rPr>
        <w:t>Introduction</w:t>
      </w:r>
    </w:p>
    <w:p w14:paraId="1AD2409A" w14:textId="7633AEC0" w:rsidR="00D42A5D" w:rsidRDefault="005E4E19" w:rsidP="00CD4059">
      <w:r>
        <w:t xml:space="preserve">The intention of MR-DC and CA is to utilize more carrier resource and realize better throughput. For this intension, how to realize the fast access to a NR serving cell is critical. This target is also included in the WI scope </w:t>
      </w:r>
      <w:r>
        <w:fldChar w:fldCharType="begin"/>
      </w:r>
      <w:r>
        <w:instrText xml:space="preserve"> REF _Ref528660438 \n \h </w:instrText>
      </w:r>
      <w:r>
        <w:fldChar w:fldCharType="separate"/>
      </w:r>
      <w:r>
        <w:t>[1]</w:t>
      </w:r>
      <w:r>
        <w:fldChar w:fldCharType="end"/>
      </w:r>
      <w:r>
        <w:t xml:space="preserve"> :</w:t>
      </w:r>
    </w:p>
    <w:p w14:paraId="60590FF3" w14:textId="77777777" w:rsidR="005E4E19" w:rsidRDefault="005E4E19" w:rsidP="00CD4059"/>
    <w:tbl>
      <w:tblPr>
        <w:tblStyle w:val="TableGrid"/>
        <w:tblW w:w="0" w:type="auto"/>
        <w:tblLook w:val="04A0" w:firstRow="1" w:lastRow="0" w:firstColumn="1" w:lastColumn="0" w:noHBand="0" w:noVBand="1"/>
      </w:tblPr>
      <w:tblGrid>
        <w:gridCol w:w="10457"/>
      </w:tblGrid>
      <w:tr w:rsidR="005E4E19" w14:paraId="15F12511" w14:textId="77777777" w:rsidTr="005E4E19">
        <w:tc>
          <w:tcPr>
            <w:tcW w:w="10457" w:type="dxa"/>
          </w:tcPr>
          <w:p w14:paraId="51D36A16" w14:textId="3BB68597" w:rsidR="005E4E19" w:rsidRDefault="005E4E19" w:rsidP="005E4E19">
            <w:pPr>
              <w:numPr>
                <w:ilvl w:val="0"/>
                <w:numId w:val="33"/>
              </w:numPr>
              <w:overflowPunct w:val="0"/>
              <w:autoSpaceDE w:val="0"/>
              <w:autoSpaceDN w:val="0"/>
              <w:adjustRightInd w:val="0"/>
              <w:jc w:val="both"/>
              <w:textAlignment w:val="baseline"/>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Pr>
                <w:bCs/>
                <w:lang w:val="en-US"/>
              </w:rPr>
              <w:t xml:space="preserve"> </w:t>
            </w:r>
          </w:p>
          <w:p w14:paraId="3699B7CB" w14:textId="77777777" w:rsidR="005E4E19" w:rsidRDefault="005E4E19" w:rsidP="005E4E19">
            <w:pPr>
              <w:numPr>
                <w:ilvl w:val="1"/>
                <w:numId w:val="33"/>
              </w:numPr>
              <w:overflowPunct w:val="0"/>
              <w:autoSpaceDE w:val="0"/>
              <w:autoSpaceDN w:val="0"/>
              <w:adjustRightInd w:val="0"/>
              <w:jc w:val="both"/>
              <w:textAlignment w:val="baseline"/>
              <w:rPr>
                <w:bCs/>
                <w:lang w:val="en-US"/>
              </w:rPr>
            </w:pPr>
            <w:r>
              <w:rPr>
                <w:bCs/>
                <w:lang w:val="en-US"/>
              </w:rPr>
              <w:t>This objective applies to MR-DC, NR-NR DC and CA</w:t>
            </w:r>
          </w:p>
          <w:p w14:paraId="1B0E7D7F" w14:textId="3C9859B7" w:rsidR="005E4E19" w:rsidRPr="005E4E19" w:rsidRDefault="005E4E19" w:rsidP="00CD4059">
            <w:pPr>
              <w:numPr>
                <w:ilvl w:val="1"/>
                <w:numId w:val="33"/>
              </w:numPr>
              <w:overflowPunct w:val="0"/>
              <w:autoSpaceDE w:val="0"/>
              <w:autoSpaceDN w:val="0"/>
              <w:adjustRightInd w:val="0"/>
              <w:jc w:val="both"/>
              <w:textAlignment w:val="baseline"/>
              <w:rPr>
                <w:bCs/>
                <w:lang w:val="en-US"/>
              </w:rPr>
            </w:pPr>
            <w:r>
              <w:rPr>
                <w:bCs/>
                <w:lang w:val="en-US"/>
              </w:rPr>
              <w:t>The objective should consider enhancements when starting from IDLE, INACTIVE mode and CONNECTED mode</w:t>
            </w:r>
          </w:p>
        </w:tc>
      </w:tr>
    </w:tbl>
    <w:p w14:paraId="6758DA2A" w14:textId="77777777" w:rsidR="005E4E19" w:rsidRDefault="005E4E19" w:rsidP="00CD4059"/>
    <w:p w14:paraId="7D07B1C6" w14:textId="3A7FFB82" w:rsidR="00AE7BC6" w:rsidRDefault="005E4E19" w:rsidP="00CD4059">
      <w:r>
        <w:t>This contribution will identify the directions to realize the target.</w:t>
      </w:r>
    </w:p>
    <w:p w14:paraId="642FCFF7" w14:textId="77777777" w:rsidR="005E4E19" w:rsidRDefault="005E4E19" w:rsidP="00CD4059"/>
    <w:p w14:paraId="1EC30412" w14:textId="77777777" w:rsidR="005E4E19" w:rsidRDefault="005E4E19" w:rsidP="00CD4059"/>
    <w:p w14:paraId="334B9AC5" w14:textId="7415D7DA" w:rsidR="00B24406" w:rsidRPr="003B5CA8" w:rsidRDefault="005E4E19" w:rsidP="00B24406">
      <w:pPr>
        <w:pStyle w:val="Heading1"/>
        <w:tabs>
          <w:tab w:val="clear" w:pos="3267"/>
          <w:tab w:val="num" w:pos="432"/>
        </w:tabs>
        <w:rPr>
          <w:color w:val="000000"/>
        </w:rPr>
      </w:pPr>
      <w:r>
        <w:rPr>
          <w:color w:val="000000"/>
        </w:rPr>
        <w:t>Fast Access to NR Serving Cell</w:t>
      </w:r>
    </w:p>
    <w:p w14:paraId="4BE77CEA" w14:textId="0506B4CB" w:rsidR="006534D9" w:rsidRDefault="005E4E19" w:rsidP="006534D9">
      <w:pPr>
        <w:rPr>
          <w:lang w:eastAsia="en-US"/>
        </w:rPr>
      </w:pPr>
      <w:r>
        <w:rPr>
          <w:lang w:eastAsia="en-US"/>
        </w:rPr>
        <w:t xml:space="preserve">For NR CA, the time required to enable a SCell depends on the state of the SCell. If the SCell is deactivated, activation process can take even longer time than LTE. If the SCell is kept activated, the response time can be minimal. </w:t>
      </w:r>
      <w:r>
        <w:rPr>
          <w:lang w:eastAsia="en-US"/>
        </w:rPr>
        <w:fldChar w:fldCharType="begin"/>
      </w:r>
      <w:r>
        <w:rPr>
          <w:lang w:eastAsia="en-US"/>
        </w:rPr>
        <w:instrText xml:space="preserve"> REF _Ref535046959 \h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illustrates the difference in waking up a NR SCell.</w:t>
      </w:r>
    </w:p>
    <w:p w14:paraId="29C0BC44" w14:textId="77777777" w:rsidR="005E4E19" w:rsidRDefault="005E4E19" w:rsidP="006534D9">
      <w:pPr>
        <w:rPr>
          <w:lang w:eastAsia="en-US"/>
        </w:rPr>
      </w:pPr>
    </w:p>
    <w:p w14:paraId="62034814" w14:textId="77777777" w:rsidR="005E4E19" w:rsidRDefault="005E4E19" w:rsidP="006534D9">
      <w:pPr>
        <w:rPr>
          <w:lang w:eastAsia="en-US"/>
        </w:rPr>
      </w:pPr>
    </w:p>
    <w:p w14:paraId="7B817FB6" w14:textId="77777777" w:rsidR="005E4E19" w:rsidRDefault="005E4E19" w:rsidP="005E4E19">
      <w:pPr>
        <w:keepNext/>
        <w:jc w:val="center"/>
      </w:pPr>
      <w:r>
        <w:rPr>
          <w:noProof/>
          <w:lang w:val="en-US" w:eastAsia="zh-TW"/>
        </w:rPr>
        <w:drawing>
          <wp:inline distT="0" distB="0" distL="0" distR="0" wp14:anchorId="3C7304B6" wp14:editId="1AFE18E5">
            <wp:extent cx="5289437" cy="2409486"/>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7299" cy="2413067"/>
                    </a:xfrm>
                    <a:prstGeom prst="rect">
                      <a:avLst/>
                    </a:prstGeom>
                    <a:noFill/>
                    <a:ln>
                      <a:noFill/>
                    </a:ln>
                  </pic:spPr>
                </pic:pic>
              </a:graphicData>
            </a:graphic>
          </wp:inline>
        </w:drawing>
      </w:r>
    </w:p>
    <w:p w14:paraId="5BA75A92" w14:textId="00A10438" w:rsidR="005E4E19" w:rsidRDefault="005E4E19" w:rsidP="005E4E19">
      <w:pPr>
        <w:pStyle w:val="Caption"/>
        <w:jc w:val="center"/>
        <w:rPr>
          <w:lang w:eastAsia="en-US"/>
        </w:rPr>
      </w:pPr>
      <w:bookmarkStart w:id="2" w:name="_Ref535046959"/>
      <w:r>
        <w:t xml:space="preserve">Figure </w:t>
      </w:r>
      <w:r>
        <w:fldChar w:fldCharType="begin"/>
      </w:r>
      <w:r>
        <w:instrText xml:space="preserve"> SEQ Figure \* ARABIC </w:instrText>
      </w:r>
      <w:r>
        <w:fldChar w:fldCharType="separate"/>
      </w:r>
      <w:r>
        <w:rPr>
          <w:noProof/>
        </w:rPr>
        <w:t>1</w:t>
      </w:r>
      <w:r>
        <w:fldChar w:fldCharType="end"/>
      </w:r>
      <w:bookmarkEnd w:id="2"/>
      <w:r>
        <w:t>: Wake up a NR SCell for data access in NR CA</w:t>
      </w:r>
    </w:p>
    <w:p w14:paraId="633551C6" w14:textId="77777777" w:rsidR="005E4E19" w:rsidRDefault="005E4E19" w:rsidP="006534D9">
      <w:pPr>
        <w:rPr>
          <w:lang w:eastAsia="en-US"/>
        </w:rPr>
      </w:pPr>
    </w:p>
    <w:p w14:paraId="210DC9C8" w14:textId="77777777" w:rsidR="005E4E19" w:rsidRDefault="005E4E19" w:rsidP="005E4E19">
      <w:pPr>
        <w:rPr>
          <w:lang w:eastAsia="en-US"/>
        </w:rPr>
      </w:pPr>
      <w:r>
        <w:rPr>
          <w:lang w:eastAsia="en-US"/>
        </w:rPr>
        <w:t>LTE Rel-15 introduces a new dormant state for a SCell. In the dormant state, UE doesn’t need to monitor PDCCH while only keeping periodic measurements and reports. The main benefit is the SCell switching time to activated state is reduced from 24 ms to 8 ms. This feature achieves better balance in UE power saving and SCell efficiency.</w:t>
      </w:r>
    </w:p>
    <w:p w14:paraId="2902C72A" w14:textId="77777777" w:rsidR="005E4E19" w:rsidRDefault="005E4E19" w:rsidP="005E4E19">
      <w:pPr>
        <w:rPr>
          <w:lang w:eastAsia="en-US"/>
        </w:rPr>
      </w:pPr>
    </w:p>
    <w:p w14:paraId="6A9F5100" w14:textId="77777777" w:rsidR="005E4E19" w:rsidRDefault="005E4E19" w:rsidP="005E4E19">
      <w:pPr>
        <w:rPr>
          <w:lang w:eastAsia="en-US"/>
        </w:rPr>
      </w:pPr>
      <w:r>
        <w:rPr>
          <w:lang w:eastAsia="en-US"/>
        </w:rPr>
        <w:lastRenderedPageBreak/>
        <w:t>For NR, suspending PDCCH monitoring doesn’t require a new SCell state. In fact, switching UE to a BWP with no search space configured can effectively create the dormant behaviour. Since BWP switching delay is only 2-3 ms, realizing SCell dormancy by BWP switching can achieve faster access switching time than LTE. Better UE power saving and SCell efficiency than LTE can be realized as well.</w:t>
      </w:r>
    </w:p>
    <w:p w14:paraId="0F8EF997" w14:textId="77777777" w:rsidR="005E4E19" w:rsidRDefault="005E4E19" w:rsidP="006534D9">
      <w:pPr>
        <w:rPr>
          <w:lang w:eastAsia="en-US"/>
        </w:rPr>
      </w:pPr>
    </w:p>
    <w:p w14:paraId="1EBE4E9C" w14:textId="679BB6CD" w:rsidR="005E4E19" w:rsidRPr="008A7975" w:rsidRDefault="005E4E19" w:rsidP="005E4E19">
      <w:pPr>
        <w:rPr>
          <w:rStyle w:val="Strong"/>
        </w:rPr>
      </w:pPr>
      <w:r w:rsidRPr="008A7975">
        <w:rPr>
          <w:rStyle w:val="Strong"/>
        </w:rPr>
        <w:t>Proposal</w:t>
      </w:r>
      <w:r>
        <w:rPr>
          <w:rStyle w:val="Strong"/>
        </w:rPr>
        <w:t xml:space="preserve"> 1</w:t>
      </w:r>
      <w:r w:rsidRPr="008A7975">
        <w:rPr>
          <w:rStyle w:val="Strong"/>
        </w:rPr>
        <w:t xml:space="preserve">: </w:t>
      </w:r>
      <w:r>
        <w:rPr>
          <w:rStyle w:val="Strong"/>
        </w:rPr>
        <w:t xml:space="preserve">Consider </w:t>
      </w:r>
      <w:r w:rsidRPr="008A7975">
        <w:rPr>
          <w:rStyle w:val="Strong"/>
        </w:rPr>
        <w:t>NR SCell dormancy by BWP for Rel-16 to realize faster SCell access switching than LTE.</w:t>
      </w:r>
    </w:p>
    <w:p w14:paraId="5FEA464C" w14:textId="77777777" w:rsidR="003B5CA8" w:rsidRDefault="003B5CA8" w:rsidP="00372352">
      <w:pPr>
        <w:rPr>
          <w:lang w:eastAsia="en-US"/>
        </w:rPr>
      </w:pPr>
    </w:p>
    <w:p w14:paraId="348B09CC" w14:textId="1CE65E93" w:rsidR="005E4E19" w:rsidRDefault="005E4E19" w:rsidP="00372352">
      <w:pPr>
        <w:rPr>
          <w:lang w:eastAsia="en-US"/>
        </w:rPr>
      </w:pPr>
      <w:r>
        <w:rPr>
          <w:lang w:eastAsia="en-US"/>
        </w:rPr>
        <w:t xml:space="preserve">For the case of EN-DC, the response delay for a NR serving cell will depend on the UE state in NR side. As illustrated in </w:t>
      </w:r>
      <w:r>
        <w:rPr>
          <w:lang w:eastAsia="en-US"/>
        </w:rPr>
        <w:fldChar w:fldCharType="begin"/>
      </w:r>
      <w:r>
        <w:rPr>
          <w:lang w:eastAsia="en-US"/>
        </w:rPr>
        <w:instrText xml:space="preserve"> REF _Ref535048293 \h </w:instrText>
      </w:r>
      <w:r>
        <w:rPr>
          <w:lang w:eastAsia="en-US"/>
        </w:rPr>
      </w:r>
      <w:r>
        <w:rPr>
          <w:lang w:eastAsia="en-US"/>
        </w:rPr>
        <w:fldChar w:fldCharType="separate"/>
      </w:r>
      <w:r>
        <w:t xml:space="preserve">Figure </w:t>
      </w:r>
      <w:r>
        <w:rPr>
          <w:noProof/>
        </w:rPr>
        <w:t>2</w:t>
      </w:r>
      <w:r>
        <w:rPr>
          <w:lang w:eastAsia="en-US"/>
        </w:rPr>
        <w:fldChar w:fldCharType="end"/>
      </w:r>
      <w:r>
        <w:rPr>
          <w:lang w:eastAsia="en-US"/>
        </w:rPr>
        <w:t>, if UE is in idle state, paging procedure is required, which adds delay. It is desirable to create NR dormancy in connected state so as to realize fast access switching while effectively saving UE power when there is no data access.</w:t>
      </w:r>
    </w:p>
    <w:p w14:paraId="5BC0BEC5" w14:textId="77777777" w:rsidR="005E4E19" w:rsidRDefault="005E4E19" w:rsidP="00372352">
      <w:pPr>
        <w:rPr>
          <w:lang w:eastAsia="en-US"/>
        </w:rPr>
      </w:pPr>
    </w:p>
    <w:p w14:paraId="0C7A0206" w14:textId="4FC36835" w:rsidR="005E4E19" w:rsidRDefault="005E4E19" w:rsidP="00372352">
      <w:pPr>
        <w:rPr>
          <w:b/>
          <w:lang w:eastAsia="en-US"/>
        </w:rPr>
      </w:pPr>
      <w:r w:rsidRPr="005E4E19">
        <w:rPr>
          <w:b/>
          <w:lang w:eastAsia="en-US"/>
        </w:rPr>
        <w:t>Proposal 2: Consider NR PCell dormancy with minimized wake up number</w:t>
      </w:r>
      <w:r>
        <w:rPr>
          <w:b/>
          <w:lang w:eastAsia="en-US"/>
        </w:rPr>
        <w:t xml:space="preserve"> and delay for Rel-16</w:t>
      </w:r>
      <w:r w:rsidRPr="005E4E19">
        <w:rPr>
          <w:b/>
          <w:lang w:eastAsia="en-US"/>
        </w:rPr>
        <w:t>.</w:t>
      </w:r>
    </w:p>
    <w:p w14:paraId="6C321A78" w14:textId="77777777" w:rsidR="005E4E19" w:rsidRPr="005E4E19" w:rsidRDefault="005E4E19" w:rsidP="00372352">
      <w:pPr>
        <w:rPr>
          <w:b/>
          <w:lang w:eastAsia="en-US"/>
        </w:rPr>
      </w:pPr>
    </w:p>
    <w:p w14:paraId="6ECF5DFF" w14:textId="77777777" w:rsidR="005E4E19" w:rsidRDefault="005E4E19" w:rsidP="005E4E19">
      <w:pPr>
        <w:keepNext/>
        <w:jc w:val="center"/>
      </w:pPr>
      <w:r>
        <w:rPr>
          <w:noProof/>
          <w:lang w:val="en-US" w:eastAsia="zh-TW"/>
        </w:rPr>
        <w:drawing>
          <wp:inline distT="0" distB="0" distL="0" distR="0" wp14:anchorId="417113EC" wp14:editId="262F99C0">
            <wp:extent cx="5441630" cy="2679539"/>
            <wp:effectExtent l="0" t="0" r="6985"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52619" cy="2684950"/>
                    </a:xfrm>
                    <a:prstGeom prst="rect">
                      <a:avLst/>
                    </a:prstGeom>
                    <a:noFill/>
                    <a:ln>
                      <a:noFill/>
                    </a:ln>
                  </pic:spPr>
                </pic:pic>
              </a:graphicData>
            </a:graphic>
          </wp:inline>
        </w:drawing>
      </w:r>
    </w:p>
    <w:p w14:paraId="518AE045" w14:textId="2BF49AA1" w:rsidR="005E4E19" w:rsidRDefault="005E4E19" w:rsidP="005E4E19">
      <w:pPr>
        <w:pStyle w:val="Caption"/>
        <w:jc w:val="center"/>
        <w:rPr>
          <w:lang w:eastAsia="en-US"/>
        </w:rPr>
      </w:pPr>
      <w:bookmarkStart w:id="3" w:name="_Ref535048293"/>
      <w:bookmarkStart w:id="4" w:name="_GoBack"/>
      <w:bookmarkEnd w:id="4"/>
      <w:r>
        <w:t xml:space="preserve">Figure </w:t>
      </w:r>
      <w:r>
        <w:fldChar w:fldCharType="begin"/>
      </w:r>
      <w:r>
        <w:instrText xml:space="preserve"> SEQ Figure \* ARABIC </w:instrText>
      </w:r>
      <w:r>
        <w:fldChar w:fldCharType="separate"/>
      </w:r>
      <w:r>
        <w:rPr>
          <w:noProof/>
        </w:rPr>
        <w:t>2</w:t>
      </w:r>
      <w:r>
        <w:fldChar w:fldCharType="end"/>
      </w:r>
      <w:bookmarkEnd w:id="3"/>
      <w:r>
        <w:t>: Wake up a NR PCell for data access in EN-DC</w:t>
      </w:r>
    </w:p>
    <w:p w14:paraId="05DA7012" w14:textId="77777777" w:rsidR="005E4E19" w:rsidRDefault="005E4E19" w:rsidP="00372352">
      <w:pPr>
        <w:rPr>
          <w:lang w:eastAsia="en-US"/>
        </w:rPr>
      </w:pPr>
    </w:p>
    <w:p w14:paraId="280A1B43" w14:textId="77777777" w:rsidR="005E4E19" w:rsidRDefault="005E4E19" w:rsidP="00372352">
      <w:pPr>
        <w:rPr>
          <w:lang w:eastAsia="en-US"/>
        </w:rPr>
      </w:pPr>
    </w:p>
    <w:p w14:paraId="4A124376" w14:textId="77777777" w:rsidR="005E4E19" w:rsidRDefault="005E4E19" w:rsidP="00372352">
      <w:pPr>
        <w:rPr>
          <w:lang w:eastAsia="en-US"/>
        </w:rPr>
      </w:pPr>
    </w:p>
    <w:p w14:paraId="73FA25F9" w14:textId="6F5FB62F" w:rsidR="002D44AF" w:rsidRDefault="002D44AF" w:rsidP="004720D7">
      <w:pPr>
        <w:pStyle w:val="Heading1"/>
        <w:pBdr>
          <w:top w:val="single" w:sz="12" w:space="5" w:color="auto"/>
        </w:pBdr>
        <w:rPr>
          <w:color w:val="000000"/>
        </w:rPr>
      </w:pPr>
      <w:r w:rsidRPr="00180817">
        <w:rPr>
          <w:rFonts w:hint="eastAsia"/>
          <w:color w:val="000000"/>
        </w:rPr>
        <w:t>Conclusion</w:t>
      </w:r>
      <w:r w:rsidR="00B422C8">
        <w:rPr>
          <w:color w:val="000000"/>
        </w:rPr>
        <w:t>s</w:t>
      </w:r>
    </w:p>
    <w:p w14:paraId="7EC50EDF" w14:textId="764E2A6E" w:rsidR="00F844BE" w:rsidRDefault="005E4E19" w:rsidP="00F844BE">
      <w:pPr>
        <w:pStyle w:val="BodyText"/>
        <w:jc w:val="both"/>
        <w:rPr>
          <w:szCs w:val="22"/>
          <w:lang w:eastAsia="zh-CN"/>
        </w:rPr>
      </w:pPr>
      <w:r>
        <w:rPr>
          <w:szCs w:val="22"/>
          <w:lang w:eastAsia="zh-CN"/>
        </w:rPr>
        <w:t>In this contribution, it is discussed how to realize fast access to a NR serving cell in either NR CA or EN-DC setting. In particular, we have</w:t>
      </w:r>
    </w:p>
    <w:p w14:paraId="2FBEC74E" w14:textId="77777777" w:rsidR="005E4E19" w:rsidRDefault="005E4E19" w:rsidP="00F844BE">
      <w:pPr>
        <w:pStyle w:val="BodyText"/>
        <w:jc w:val="both"/>
        <w:rPr>
          <w:szCs w:val="22"/>
          <w:lang w:eastAsia="zh-CN"/>
        </w:rPr>
      </w:pPr>
    </w:p>
    <w:p w14:paraId="7EBA650C" w14:textId="77777777" w:rsidR="005E4E19" w:rsidRPr="008A7975" w:rsidRDefault="005E4E19" w:rsidP="005E4E19">
      <w:pPr>
        <w:rPr>
          <w:rStyle w:val="Strong"/>
        </w:rPr>
      </w:pPr>
      <w:r w:rsidRPr="008A7975">
        <w:rPr>
          <w:rStyle w:val="Strong"/>
        </w:rPr>
        <w:t>Proposal</w:t>
      </w:r>
      <w:r>
        <w:rPr>
          <w:rStyle w:val="Strong"/>
        </w:rPr>
        <w:t xml:space="preserve"> 1</w:t>
      </w:r>
      <w:r w:rsidRPr="008A7975">
        <w:rPr>
          <w:rStyle w:val="Strong"/>
        </w:rPr>
        <w:t xml:space="preserve">: </w:t>
      </w:r>
      <w:r>
        <w:rPr>
          <w:rStyle w:val="Strong"/>
        </w:rPr>
        <w:t xml:space="preserve">Consider </w:t>
      </w:r>
      <w:r w:rsidRPr="008A7975">
        <w:rPr>
          <w:rStyle w:val="Strong"/>
        </w:rPr>
        <w:t>NR SCell dormancy by BWP for Rel-16 to realize faster SCell access switching than LTE.</w:t>
      </w:r>
    </w:p>
    <w:p w14:paraId="02917B96" w14:textId="77777777" w:rsidR="00AE7BC6" w:rsidRDefault="00AE7BC6" w:rsidP="00F844BE">
      <w:pPr>
        <w:pStyle w:val="BodyText"/>
        <w:jc w:val="both"/>
        <w:rPr>
          <w:szCs w:val="22"/>
          <w:lang w:eastAsia="zh-CN"/>
        </w:rPr>
      </w:pPr>
    </w:p>
    <w:p w14:paraId="04174FD8" w14:textId="77777777" w:rsidR="005E4E19" w:rsidRDefault="005E4E19" w:rsidP="005E4E19">
      <w:pPr>
        <w:rPr>
          <w:b/>
          <w:lang w:eastAsia="en-US"/>
        </w:rPr>
      </w:pPr>
      <w:r w:rsidRPr="005E4E19">
        <w:rPr>
          <w:b/>
          <w:lang w:eastAsia="en-US"/>
        </w:rPr>
        <w:t>Proposal 2: Consider NR PCell dormancy with minimized wake up number</w:t>
      </w:r>
      <w:r>
        <w:rPr>
          <w:b/>
          <w:lang w:eastAsia="en-US"/>
        </w:rPr>
        <w:t xml:space="preserve"> and delay for Rel-16</w:t>
      </w:r>
      <w:r w:rsidRPr="005E4E19">
        <w:rPr>
          <w:b/>
          <w:lang w:eastAsia="en-US"/>
        </w:rPr>
        <w:t>.</w:t>
      </w:r>
    </w:p>
    <w:p w14:paraId="13EA7AA8" w14:textId="77777777" w:rsidR="005E4E19" w:rsidRDefault="005E4E19" w:rsidP="00F844BE">
      <w:pPr>
        <w:pStyle w:val="BodyText"/>
        <w:jc w:val="both"/>
        <w:rPr>
          <w:szCs w:val="22"/>
          <w:lang w:eastAsia="zh-CN"/>
        </w:rPr>
      </w:pPr>
    </w:p>
    <w:p w14:paraId="19DBC28B" w14:textId="77777777" w:rsidR="005E4E19" w:rsidRDefault="005E4E19" w:rsidP="00F844BE">
      <w:pPr>
        <w:pStyle w:val="BodyText"/>
        <w:jc w:val="both"/>
        <w:rPr>
          <w:szCs w:val="22"/>
          <w:lang w:eastAsia="zh-CN"/>
        </w:rPr>
      </w:pPr>
    </w:p>
    <w:p w14:paraId="223EEB22" w14:textId="77777777" w:rsidR="00AE7BC6" w:rsidRDefault="00AE7BC6" w:rsidP="00F844BE">
      <w:pPr>
        <w:pStyle w:val="BodyText"/>
        <w:jc w:val="both"/>
        <w:rPr>
          <w:szCs w:val="22"/>
          <w:lang w:eastAsia="zh-CN"/>
        </w:rPr>
      </w:pPr>
    </w:p>
    <w:p w14:paraId="54DB904F" w14:textId="3B0EB547" w:rsidR="00C12789" w:rsidRPr="00C12789" w:rsidRDefault="004720D7" w:rsidP="00C12789">
      <w:pPr>
        <w:pStyle w:val="Heading1"/>
        <w:pBdr>
          <w:top w:val="single" w:sz="12" w:space="5" w:color="auto"/>
        </w:pBdr>
      </w:pPr>
      <w:r>
        <w:t>References</w:t>
      </w:r>
    </w:p>
    <w:p w14:paraId="778DB611" w14:textId="5AAC2A33" w:rsidR="00D42A5D" w:rsidRPr="005E4E19" w:rsidRDefault="005E4E19" w:rsidP="005E4E19">
      <w:pPr>
        <w:pStyle w:val="ListParagraph"/>
        <w:numPr>
          <w:ilvl w:val="0"/>
          <w:numId w:val="2"/>
        </w:numPr>
        <w:spacing w:after="60"/>
        <w:jc w:val="both"/>
        <w:rPr>
          <w:sz w:val="22"/>
          <w:lang w:eastAsia="ko-KR"/>
        </w:rPr>
      </w:pPr>
      <w:bookmarkStart w:id="5" w:name="_Ref528660438"/>
      <w:bookmarkStart w:id="6" w:name="_Ref534904200"/>
      <w:r w:rsidRPr="005E4E19">
        <w:rPr>
          <w:sz w:val="22"/>
          <w:lang w:eastAsia="ko-KR"/>
        </w:rPr>
        <w:t>RP-182076</w:t>
      </w:r>
      <w:r w:rsidR="00CD4059">
        <w:rPr>
          <w:sz w:val="22"/>
          <w:lang w:eastAsia="ko-KR"/>
        </w:rPr>
        <w:t>, “</w:t>
      </w:r>
      <w:r w:rsidRPr="005E4E19">
        <w:rPr>
          <w:sz w:val="22"/>
          <w:lang w:eastAsia="ko-KR"/>
        </w:rPr>
        <w:t>WID on Multi-RAT Dual-Connectivity and Carrier Aggregation enhancements</w:t>
      </w:r>
      <w:r w:rsidR="00CD4059">
        <w:rPr>
          <w:sz w:val="22"/>
          <w:lang w:eastAsia="ko-KR"/>
        </w:rPr>
        <w:t xml:space="preserve">”, </w:t>
      </w:r>
      <w:bookmarkEnd w:id="6"/>
      <w:r w:rsidRPr="005E4E19">
        <w:rPr>
          <w:sz w:val="22"/>
          <w:lang w:eastAsia="ko-KR"/>
        </w:rPr>
        <w:t>RAN#81</w:t>
      </w:r>
      <w:bookmarkEnd w:id="5"/>
    </w:p>
    <w:sectPr w:rsidR="00D42A5D" w:rsidRPr="005E4E19"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03D27" w14:textId="77777777" w:rsidR="006D17B1" w:rsidRDefault="006D17B1">
      <w:r>
        <w:separator/>
      </w:r>
    </w:p>
  </w:endnote>
  <w:endnote w:type="continuationSeparator" w:id="0">
    <w:p w14:paraId="2A1F6E10" w14:textId="77777777" w:rsidR="006D17B1" w:rsidRDefault="006D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74C18" w14:textId="77777777" w:rsidR="006D17B1" w:rsidRDefault="006D17B1">
      <w:r>
        <w:separator/>
      </w:r>
    </w:p>
  </w:footnote>
  <w:footnote w:type="continuationSeparator" w:id="0">
    <w:p w14:paraId="6B1093C0" w14:textId="77777777" w:rsidR="006D17B1" w:rsidRDefault="006D17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C052B0E"/>
    <w:multiLevelType w:val="hybridMultilevel"/>
    <w:tmpl w:val="F9608A7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6664C"/>
    <w:multiLevelType w:val="hybridMultilevel"/>
    <w:tmpl w:val="31AAB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85416BA">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077BB5"/>
    <w:multiLevelType w:val="hybridMultilevel"/>
    <w:tmpl w:val="7924F8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8"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256D3"/>
    <w:multiLevelType w:val="hybridMultilevel"/>
    <w:tmpl w:val="2092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A7107"/>
    <w:multiLevelType w:val="hybridMultilevel"/>
    <w:tmpl w:val="E048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5F710D6"/>
    <w:multiLevelType w:val="hybridMultilevel"/>
    <w:tmpl w:val="1810A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7"/>
  </w:num>
  <w:num w:numId="2">
    <w:abstractNumId w:val="15"/>
  </w:num>
  <w:num w:numId="3">
    <w:abstractNumId w:val="7"/>
  </w:num>
  <w:num w:numId="4">
    <w:abstractNumId w:val="16"/>
  </w:num>
  <w:num w:numId="5">
    <w:abstractNumId w:val="5"/>
  </w:num>
  <w:num w:numId="6">
    <w:abstractNumId w:val="3"/>
  </w:num>
  <w:num w:numId="7">
    <w:abstractNumId w:val="25"/>
  </w:num>
  <w:num w:numId="8">
    <w:abstractNumId w:val="23"/>
  </w:num>
  <w:num w:numId="9">
    <w:abstractNumId w:val="30"/>
  </w:num>
  <w:num w:numId="10">
    <w:abstractNumId w:val="10"/>
  </w:num>
  <w:num w:numId="11">
    <w:abstractNumId w:val="8"/>
  </w:num>
  <w:num w:numId="12">
    <w:abstractNumId w:val="0"/>
  </w:num>
  <w:num w:numId="13">
    <w:abstractNumId w:val="28"/>
  </w:num>
  <w:num w:numId="14">
    <w:abstractNumId w:val="13"/>
  </w:num>
  <w:num w:numId="15">
    <w:abstractNumId w:val="12"/>
  </w:num>
  <w:num w:numId="16">
    <w:abstractNumId w:val="1"/>
  </w:num>
  <w:num w:numId="17">
    <w:abstractNumId w:val="18"/>
  </w:num>
  <w:num w:numId="18">
    <w:abstractNumId w:val="31"/>
  </w:num>
  <w:num w:numId="19">
    <w:abstractNumId w:val="29"/>
  </w:num>
  <w:num w:numId="20">
    <w:abstractNumId w:val="19"/>
  </w:num>
  <w:num w:numId="21">
    <w:abstractNumId w:val="27"/>
  </w:num>
  <w:num w:numId="22">
    <w:abstractNumId w:val="4"/>
  </w:num>
  <w:num w:numId="23">
    <w:abstractNumId w:val="33"/>
  </w:num>
  <w:num w:numId="24">
    <w:abstractNumId w:val="9"/>
  </w:num>
  <w:num w:numId="25">
    <w:abstractNumId w:val="2"/>
  </w:num>
  <w:num w:numId="26">
    <w:abstractNumId w:val="22"/>
  </w:num>
  <w:num w:numId="27">
    <w:abstractNumId w:val="6"/>
  </w:num>
  <w:num w:numId="28">
    <w:abstractNumId w:val="11"/>
  </w:num>
  <w:num w:numId="29">
    <w:abstractNumId w:val="14"/>
  </w:num>
  <w:num w:numId="30">
    <w:abstractNumId w:val="20"/>
  </w:num>
  <w:num w:numId="31">
    <w:abstractNumId w:val="21"/>
  </w:num>
  <w:num w:numId="32">
    <w:abstractNumId w:val="24"/>
  </w:num>
  <w:num w:numId="33">
    <w:abstractNumId w:val="32"/>
  </w:num>
  <w:num w:numId="34">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4444"/>
    <w:rsid w:val="00015793"/>
    <w:rsid w:val="00015873"/>
    <w:rsid w:val="000161E4"/>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7A8C"/>
    <w:rsid w:val="000D06B4"/>
    <w:rsid w:val="000D0915"/>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457E"/>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4CC0"/>
    <w:rsid w:val="00126E09"/>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BF8"/>
    <w:rsid w:val="00177DC6"/>
    <w:rsid w:val="00180049"/>
    <w:rsid w:val="00180817"/>
    <w:rsid w:val="00180AC2"/>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3867"/>
    <w:rsid w:val="001C0D39"/>
    <w:rsid w:val="001C2EA0"/>
    <w:rsid w:val="001C5A24"/>
    <w:rsid w:val="001C5C0D"/>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550F"/>
    <w:rsid w:val="00216D2C"/>
    <w:rsid w:val="00217582"/>
    <w:rsid w:val="00217E5C"/>
    <w:rsid w:val="00220954"/>
    <w:rsid w:val="0022164C"/>
    <w:rsid w:val="002223A7"/>
    <w:rsid w:val="00222897"/>
    <w:rsid w:val="0022363F"/>
    <w:rsid w:val="00227F86"/>
    <w:rsid w:val="00232D07"/>
    <w:rsid w:val="00233A56"/>
    <w:rsid w:val="00235394"/>
    <w:rsid w:val="00235A9B"/>
    <w:rsid w:val="0023717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3A3"/>
    <w:rsid w:val="00287850"/>
    <w:rsid w:val="00287BC6"/>
    <w:rsid w:val="00287D65"/>
    <w:rsid w:val="00290D7F"/>
    <w:rsid w:val="0029193E"/>
    <w:rsid w:val="00292870"/>
    <w:rsid w:val="0029299D"/>
    <w:rsid w:val="00293E3A"/>
    <w:rsid w:val="00297444"/>
    <w:rsid w:val="00297FB4"/>
    <w:rsid w:val="002A116B"/>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C677B"/>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B16"/>
    <w:rsid w:val="00330AB0"/>
    <w:rsid w:val="00331B14"/>
    <w:rsid w:val="00331F8D"/>
    <w:rsid w:val="00331F9B"/>
    <w:rsid w:val="003366B3"/>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D08"/>
    <w:rsid w:val="0037097E"/>
    <w:rsid w:val="00370A22"/>
    <w:rsid w:val="00372352"/>
    <w:rsid w:val="00377B02"/>
    <w:rsid w:val="00380F82"/>
    <w:rsid w:val="003816B4"/>
    <w:rsid w:val="0038413C"/>
    <w:rsid w:val="00384502"/>
    <w:rsid w:val="00384510"/>
    <w:rsid w:val="00386E93"/>
    <w:rsid w:val="003969DE"/>
    <w:rsid w:val="003976A8"/>
    <w:rsid w:val="003978CE"/>
    <w:rsid w:val="003A26DF"/>
    <w:rsid w:val="003A3A62"/>
    <w:rsid w:val="003A5FA4"/>
    <w:rsid w:val="003A6535"/>
    <w:rsid w:val="003A7FDA"/>
    <w:rsid w:val="003B037E"/>
    <w:rsid w:val="003B1CD7"/>
    <w:rsid w:val="003B25A7"/>
    <w:rsid w:val="003B360D"/>
    <w:rsid w:val="003B5CA8"/>
    <w:rsid w:val="003B63FF"/>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24F"/>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2D42"/>
    <w:rsid w:val="00413D74"/>
    <w:rsid w:val="0041441E"/>
    <w:rsid w:val="004145EC"/>
    <w:rsid w:val="00415DFC"/>
    <w:rsid w:val="0041688B"/>
    <w:rsid w:val="00422A70"/>
    <w:rsid w:val="00423C66"/>
    <w:rsid w:val="004240C8"/>
    <w:rsid w:val="00424ED4"/>
    <w:rsid w:val="00427DBF"/>
    <w:rsid w:val="00427E28"/>
    <w:rsid w:val="00433199"/>
    <w:rsid w:val="00436299"/>
    <w:rsid w:val="00436340"/>
    <w:rsid w:val="00436526"/>
    <w:rsid w:val="00436B8D"/>
    <w:rsid w:val="00444225"/>
    <w:rsid w:val="004446E3"/>
    <w:rsid w:val="00445D09"/>
    <w:rsid w:val="00445D1B"/>
    <w:rsid w:val="0044690C"/>
    <w:rsid w:val="004502EA"/>
    <w:rsid w:val="00452AF3"/>
    <w:rsid w:val="004539A7"/>
    <w:rsid w:val="00454F89"/>
    <w:rsid w:val="00456BEA"/>
    <w:rsid w:val="00457C47"/>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7AA"/>
    <w:rsid w:val="00577842"/>
    <w:rsid w:val="00580522"/>
    <w:rsid w:val="005806AA"/>
    <w:rsid w:val="00580EF2"/>
    <w:rsid w:val="0058668B"/>
    <w:rsid w:val="00586BDE"/>
    <w:rsid w:val="005937DC"/>
    <w:rsid w:val="00593800"/>
    <w:rsid w:val="005950CF"/>
    <w:rsid w:val="00595B59"/>
    <w:rsid w:val="005A023B"/>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13D4"/>
    <w:rsid w:val="005E305C"/>
    <w:rsid w:val="005E4724"/>
    <w:rsid w:val="005E4E19"/>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35E"/>
    <w:rsid w:val="0061230B"/>
    <w:rsid w:val="00615DD4"/>
    <w:rsid w:val="0061710E"/>
    <w:rsid w:val="00617472"/>
    <w:rsid w:val="00617873"/>
    <w:rsid w:val="00620F88"/>
    <w:rsid w:val="00621321"/>
    <w:rsid w:val="00622066"/>
    <w:rsid w:val="006226BC"/>
    <w:rsid w:val="00624011"/>
    <w:rsid w:val="00626758"/>
    <w:rsid w:val="00627E7B"/>
    <w:rsid w:val="0063019F"/>
    <w:rsid w:val="0063052A"/>
    <w:rsid w:val="00630F44"/>
    <w:rsid w:val="0063135D"/>
    <w:rsid w:val="006320EF"/>
    <w:rsid w:val="0063516A"/>
    <w:rsid w:val="00636BCC"/>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6B2"/>
    <w:rsid w:val="0068259C"/>
    <w:rsid w:val="0068272F"/>
    <w:rsid w:val="00683EB8"/>
    <w:rsid w:val="00684722"/>
    <w:rsid w:val="0068496A"/>
    <w:rsid w:val="00684B13"/>
    <w:rsid w:val="0068602C"/>
    <w:rsid w:val="0068666D"/>
    <w:rsid w:val="00690EB8"/>
    <w:rsid w:val="00692002"/>
    <w:rsid w:val="00692087"/>
    <w:rsid w:val="00695179"/>
    <w:rsid w:val="006A5938"/>
    <w:rsid w:val="006B11B6"/>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17B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1181"/>
    <w:rsid w:val="00791352"/>
    <w:rsid w:val="00791693"/>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6972"/>
    <w:rsid w:val="007E747B"/>
    <w:rsid w:val="007E791F"/>
    <w:rsid w:val="007F0E1E"/>
    <w:rsid w:val="007F1890"/>
    <w:rsid w:val="007F44A0"/>
    <w:rsid w:val="007F47E9"/>
    <w:rsid w:val="007F51FF"/>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479D6"/>
    <w:rsid w:val="00850984"/>
    <w:rsid w:val="00850BE7"/>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382D"/>
    <w:rsid w:val="008C0413"/>
    <w:rsid w:val="008C163F"/>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0E60"/>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30AD"/>
    <w:rsid w:val="00983910"/>
    <w:rsid w:val="009849B6"/>
    <w:rsid w:val="009853B6"/>
    <w:rsid w:val="009873A2"/>
    <w:rsid w:val="00987779"/>
    <w:rsid w:val="00992112"/>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3D08"/>
    <w:rsid w:val="009C5587"/>
    <w:rsid w:val="009C5A3F"/>
    <w:rsid w:val="009C7A70"/>
    <w:rsid w:val="009D1226"/>
    <w:rsid w:val="009D14BC"/>
    <w:rsid w:val="009D30A1"/>
    <w:rsid w:val="009D3818"/>
    <w:rsid w:val="009D63E2"/>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0FFB"/>
    <w:rsid w:val="00A8132F"/>
    <w:rsid w:val="00A814D0"/>
    <w:rsid w:val="00A8197E"/>
    <w:rsid w:val="00A81B15"/>
    <w:rsid w:val="00A829DD"/>
    <w:rsid w:val="00A8405D"/>
    <w:rsid w:val="00A84282"/>
    <w:rsid w:val="00A85DBC"/>
    <w:rsid w:val="00A86D58"/>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5E40"/>
    <w:rsid w:val="00AB6E69"/>
    <w:rsid w:val="00AB71FD"/>
    <w:rsid w:val="00AB7939"/>
    <w:rsid w:val="00AC0B1D"/>
    <w:rsid w:val="00AC1DE0"/>
    <w:rsid w:val="00AC3888"/>
    <w:rsid w:val="00AC5074"/>
    <w:rsid w:val="00AC66AC"/>
    <w:rsid w:val="00AC70B9"/>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4FA4"/>
    <w:rsid w:val="00AF5046"/>
    <w:rsid w:val="00AF574E"/>
    <w:rsid w:val="00AF6E50"/>
    <w:rsid w:val="00AF6E62"/>
    <w:rsid w:val="00AF7262"/>
    <w:rsid w:val="00B00D97"/>
    <w:rsid w:val="00B043D5"/>
    <w:rsid w:val="00B06B6F"/>
    <w:rsid w:val="00B06E40"/>
    <w:rsid w:val="00B073B3"/>
    <w:rsid w:val="00B07FAB"/>
    <w:rsid w:val="00B113F4"/>
    <w:rsid w:val="00B174A7"/>
    <w:rsid w:val="00B1773B"/>
    <w:rsid w:val="00B177E5"/>
    <w:rsid w:val="00B17DAA"/>
    <w:rsid w:val="00B20319"/>
    <w:rsid w:val="00B20E7E"/>
    <w:rsid w:val="00B21FA9"/>
    <w:rsid w:val="00B23CBD"/>
    <w:rsid w:val="00B24406"/>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62F2"/>
    <w:rsid w:val="00C06E1F"/>
    <w:rsid w:val="00C06FC1"/>
    <w:rsid w:val="00C120DC"/>
    <w:rsid w:val="00C12789"/>
    <w:rsid w:val="00C130F8"/>
    <w:rsid w:val="00C13326"/>
    <w:rsid w:val="00C15A6B"/>
    <w:rsid w:val="00C16577"/>
    <w:rsid w:val="00C20175"/>
    <w:rsid w:val="00C2049D"/>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59F4"/>
    <w:rsid w:val="00C55A94"/>
    <w:rsid w:val="00C572E1"/>
    <w:rsid w:val="00C57D51"/>
    <w:rsid w:val="00C630F2"/>
    <w:rsid w:val="00C63EE9"/>
    <w:rsid w:val="00C66897"/>
    <w:rsid w:val="00C7254C"/>
    <w:rsid w:val="00C73AFE"/>
    <w:rsid w:val="00C773D8"/>
    <w:rsid w:val="00C80564"/>
    <w:rsid w:val="00C81936"/>
    <w:rsid w:val="00C81DF2"/>
    <w:rsid w:val="00C81E2C"/>
    <w:rsid w:val="00C81F3B"/>
    <w:rsid w:val="00C83C97"/>
    <w:rsid w:val="00C84722"/>
    <w:rsid w:val="00C8492D"/>
    <w:rsid w:val="00C8645B"/>
    <w:rsid w:val="00C87796"/>
    <w:rsid w:val="00C91282"/>
    <w:rsid w:val="00C9199E"/>
    <w:rsid w:val="00C92C3D"/>
    <w:rsid w:val="00C92E43"/>
    <w:rsid w:val="00C942F0"/>
    <w:rsid w:val="00C96BA3"/>
    <w:rsid w:val="00C973E3"/>
    <w:rsid w:val="00CA4F52"/>
    <w:rsid w:val="00CA5E21"/>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D0C"/>
    <w:rsid w:val="00CD6646"/>
    <w:rsid w:val="00CE05F2"/>
    <w:rsid w:val="00CE09A3"/>
    <w:rsid w:val="00CE255C"/>
    <w:rsid w:val="00CE3C2C"/>
    <w:rsid w:val="00CE4360"/>
    <w:rsid w:val="00CE7545"/>
    <w:rsid w:val="00CE7B9B"/>
    <w:rsid w:val="00CF35F4"/>
    <w:rsid w:val="00CF675E"/>
    <w:rsid w:val="00CF68F9"/>
    <w:rsid w:val="00CF74E1"/>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35F9"/>
    <w:rsid w:val="00D938D4"/>
    <w:rsid w:val="00D9503D"/>
    <w:rsid w:val="00D95924"/>
    <w:rsid w:val="00D96227"/>
    <w:rsid w:val="00D979D7"/>
    <w:rsid w:val="00D97A63"/>
    <w:rsid w:val="00D97DA3"/>
    <w:rsid w:val="00DA1D01"/>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4E7F"/>
    <w:rsid w:val="00DE5CC0"/>
    <w:rsid w:val="00DE6765"/>
    <w:rsid w:val="00DE6E75"/>
    <w:rsid w:val="00DE7654"/>
    <w:rsid w:val="00DE7A0E"/>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388E"/>
    <w:rsid w:val="00E345FB"/>
    <w:rsid w:val="00E34D20"/>
    <w:rsid w:val="00E35051"/>
    <w:rsid w:val="00E35097"/>
    <w:rsid w:val="00E45F4B"/>
    <w:rsid w:val="00E50233"/>
    <w:rsid w:val="00E50C66"/>
    <w:rsid w:val="00E51485"/>
    <w:rsid w:val="00E51A07"/>
    <w:rsid w:val="00E55944"/>
    <w:rsid w:val="00E55ABC"/>
    <w:rsid w:val="00E55BDB"/>
    <w:rsid w:val="00E56162"/>
    <w:rsid w:val="00E56639"/>
    <w:rsid w:val="00E574D4"/>
    <w:rsid w:val="00E57B74"/>
    <w:rsid w:val="00E60501"/>
    <w:rsid w:val="00E61A44"/>
    <w:rsid w:val="00E638F7"/>
    <w:rsid w:val="00E65320"/>
    <w:rsid w:val="00E667B5"/>
    <w:rsid w:val="00E717A5"/>
    <w:rsid w:val="00E7357D"/>
    <w:rsid w:val="00E74D03"/>
    <w:rsid w:val="00E75102"/>
    <w:rsid w:val="00E75DE6"/>
    <w:rsid w:val="00E8030D"/>
    <w:rsid w:val="00E822BA"/>
    <w:rsid w:val="00E83583"/>
    <w:rsid w:val="00E841E5"/>
    <w:rsid w:val="00E8629F"/>
    <w:rsid w:val="00E870B6"/>
    <w:rsid w:val="00E87634"/>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5B01"/>
    <w:rsid w:val="00EB733C"/>
    <w:rsid w:val="00EC14A9"/>
    <w:rsid w:val="00EC29BD"/>
    <w:rsid w:val="00EC565F"/>
    <w:rsid w:val="00EC6CF4"/>
    <w:rsid w:val="00ED066D"/>
    <w:rsid w:val="00ED42D8"/>
    <w:rsid w:val="00ED5501"/>
    <w:rsid w:val="00ED6F8C"/>
    <w:rsid w:val="00EE084A"/>
    <w:rsid w:val="00EE15C1"/>
    <w:rsid w:val="00EE2BDD"/>
    <w:rsid w:val="00EE3E05"/>
    <w:rsid w:val="00EE52FC"/>
    <w:rsid w:val="00EE56F6"/>
    <w:rsid w:val="00EE5B78"/>
    <w:rsid w:val="00EE78ED"/>
    <w:rsid w:val="00EF524E"/>
    <w:rsid w:val="00EF5DA7"/>
    <w:rsid w:val="00EF69DC"/>
    <w:rsid w:val="00F001FA"/>
    <w:rsid w:val="00F0252D"/>
    <w:rsid w:val="00F02B54"/>
    <w:rsid w:val="00F035EB"/>
    <w:rsid w:val="00F04044"/>
    <w:rsid w:val="00F04AF0"/>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A2C952FE-90BC-43DB-AEFE-D2C65839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2019-01-12T00:44:00Z</dcterms:created>
  <dcterms:modified xsi:type="dcterms:W3CDTF">2019-01-12T01:25:00Z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